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a3d05d879484337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33370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OPĆINA RUŽIĆ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22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I - XII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1.080.502,79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1.254.148,32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116,1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769.671,55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1.052.434,11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136,7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PRIHODA POSLOVANJA (šifre 6-Z005)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310.831,24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201.714,21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64,9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335.227,99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384.889,51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114,8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335.227,99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384.889,51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114,8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VIŠAK/MANJAK PRIMITAKA OD FINANCIJSKE IMOVINE I ZADUŽIVANJA (šifre 8-5,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X003, 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24.396,75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183.175,30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750,8</w:t>
            </w:r>
          </w:p>
        </w:tc>
      </w:tr>
    </w:tbl>
    <w:p>
      <w:pPr>
        <w:spacing w:before="0" w:after="0"/>
      </w:pPr>
    </w:p>
    <w:p>
      <w:r>
        <w:t xml:space="preserve">U izvještajnom razdoblju 2025. godine prihodi poslovanja su ostvareni 116,10 % u odnosu na prethodno razdoblje. Prihodi od poreza su ostvareni u većem iznosu zbog većih plaća i veće zaposlenosti. Prihodi od pomoći proračunu su ostvareni više od prethodne godine i to zbog više ostvarenih kapitalnih pomoći (180,80 %) za prijavljene i odobrene infrastrukturne projekte.</w:t>
      </w:r>
    </w:p>
    <w:p>
      <w:r>
        <w:t xml:space="preserve">Rashodi poslovanja su izvršeni 136,70 % u odnosu na prethodno razdoblje. Rashodi za zaposlene su izvršeni više zbog većeg broja zaposlenih gerontodomaćica (20) u programu Zaželi koje su radile svih dvanaest mjeseci u izvještajnom razdoblju, kao i zbog većih plaća zaposlenih. Također su veći i ostali rashodi po skupinama rashoda.</w:t>
      </w:r>
    </w:p>
    <w:p>
      <w:r>
        <w:t xml:space="preserve">U izvještajnom razdoblju nije bilo prihoda od nefinancijske imovine dok su rashodi izvršeni 114,80 % u odnosu na prethodno razdoblje. Rashodi se odnose na infrastrukturne projekte u općini.</w:t>
      </w:r>
    </w:p>
    <w:p>
      <w:r>
        <w:t xml:space="preserve">U obračunskom razdoblju nastao je višak prihoda poslovanja i manjak od nefinancijske imovine tako da je sveukupni manjak prihoda u iznosu 183.175,30 eura.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poreza (šifre 611+612+613+614+615+616)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291.511,91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309.757,33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106,3</w:t>
            </w:r>
          </w:p>
        </w:tc>
      </w:tr>
    </w:tbl>
    <w:p>
      <w:pPr>
        <w:spacing w:before="0" w:after="0"/>
      </w:pPr>
    </w:p>
    <w:p>
      <w:r>
        <w:t xml:space="preserve">Prihodi su veći zbog rasta plaća i povećanog broja zaposlenih kao i pozitivnih gospodarskih kretanja.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6117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Povrat poreza na dohodak po godišnjoj prijavi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6117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84.445,89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116.473,40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137,9</w:t>
            </w:r>
          </w:p>
        </w:tc>
      </w:tr>
    </w:tbl>
    <w:p>
      <w:pPr>
        <w:spacing w:before="0" w:after="0"/>
      </w:pPr>
    </w:p>
    <w:p>
      <w:r>
        <w:t xml:space="preserve">Povrat poreza je veći zbog olakšica na područjima posebne skrbi i većeg broja zaposlenih koje imaju pravo na olakšice kao i zbog porasta plaća.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pomoći proračunu i izvanproračunskim korisnicima iz drugih proračuna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283.217,23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35.954,29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12,7</w:t>
            </w:r>
          </w:p>
        </w:tc>
      </w:tr>
    </w:tbl>
    <w:p>
      <w:pPr>
        <w:spacing w:before="0" w:after="0"/>
      </w:pPr>
    </w:p>
    <w:p>
      <w:r>
        <w:t xml:space="preserve">U 2024. godini u ovoj skupini su bila uključena sredstva fiskalnog izravnanja, a u 2025. godini prihod se odnosi na sredstva za funkcionalno spajanje općina ( s općinom Promina) za zajedničkog komunalnog redara u iznosu 4.024,29 eura i zajedničku ustanovu Dječjeg vrtića u iznosu 16.930,00 eura. Županija je također doznačila 15.000,00 eura za tekuće projekte.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Kapitalne pomoći proračunu i izvanproračunskim korisnicima iz drugih proračuna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162.255,20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293.343,97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180,8</w:t>
            </w:r>
          </w:p>
        </w:tc>
      </w:tr>
    </w:tbl>
    <w:p>
      <w:pPr>
        <w:spacing w:before="0" w:after="0"/>
      </w:pPr>
    </w:p>
    <w:p>
      <w:r>
        <w:t xml:space="preserve">Prihodi  kapitalnih pomoći su prihodi iz županijskog proračuna u iznosu 32.544,87 eura i prihodi iz državnog proračuna u iznosu 260.799,10 eura za razne infrastrukturne projekte:</w:t>
      </w:r>
    </w:p>
    <w:p>
      <w:r>
        <w:t xml:space="preserve">MRRFEU - 125.436,54 eura, MGPUDI - 112.806,00 eura, Ministarstvo demografije i useljeništva 22.556,56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nespomenuti prihodi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5.494,61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r>
        <w:t xml:space="preserve">U prethodnoj godini je ostvaren prihod s naslova osiguranja i naknade štete (4.831,00 eura) i ostali prihodi (663,61 eura), a u ovom izvještajnom razdoblju nije bilo prihoda ove kategorije.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Komunalne naknade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25.578,69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27.377,93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107,0</w:t>
            </w:r>
          </w:p>
        </w:tc>
      </w:tr>
    </w:tbl>
    <w:p>
      <w:pPr>
        <w:spacing w:before="0" w:after="0"/>
      </w:pPr>
    </w:p>
    <w:p>
      <w:r>
        <w:t xml:space="preserve">Komunalna naknada je ostvarena u većm iznosu zbog bolje naplate i uvođenja novih korisnika i podnošenja ovrhe.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zaposlene (šifre 311+312+313)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248.892,36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430.816,02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173,1</w:t>
            </w:r>
          </w:p>
        </w:tc>
      </w:tr>
    </w:tbl>
    <w:p>
      <w:pPr>
        <w:spacing w:before="0" w:after="0"/>
      </w:pPr>
    </w:p>
    <w:p>
      <w:r>
        <w:t xml:space="preserve">Rashodi za plaće su veći zbog većeg broja zaposlenih u programu "Zaželi", faza 4., kao i zbog većih plaća. Slijedom toga su veći  i doprinosi na plaće i ostali rashodi za zaposlene.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rashodi za zaposlene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11.240,86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13.182,02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117,3</w:t>
            </w:r>
          </w:p>
        </w:tc>
      </w:tr>
    </w:tbl>
    <w:p>
      <w:pPr>
        <w:spacing w:before="0" w:after="0"/>
      </w:pPr>
    </w:p>
    <w:p>
      <w:r>
        <w:t xml:space="preserve">Rashod se odnosi na isplaćene regrese (900,00 eura), naknade za smrtni slučaj u obitelji za dvoje zaposlenih (882,88 eura), uskrsnice (300,00 eura), dar djeci (300,00 eura), jubilarne nagrade za dvoje zaposlenih (1.358,80 eura) i božićnice za 23 zaposlenih (6.900,00 eura) i dodatak za rad (2.540,34 eura).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Materijal i dijelovi za tekuće i investicijsko održavanje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3.555,87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14.707,51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413,6</w:t>
            </w:r>
          </w:p>
        </w:tc>
      </w:tr>
    </w:tbl>
    <w:p>
      <w:pPr>
        <w:spacing w:before="0" w:after="0"/>
      </w:pPr>
    </w:p>
    <w:p>
      <w:r>
        <w:t xml:space="preserve">Glavnina rashoda se odnosi na materijal za održavanje cesta i putova, jalovina i beton (10.391,10 eura).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Usluge tekućeg i investicijskog održavanja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51.157,93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59.445,70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116,2</w:t>
            </w:r>
          </w:p>
        </w:tc>
      </w:tr>
    </w:tbl>
    <w:p>
      <w:pPr>
        <w:spacing w:before="0" w:after="0"/>
      </w:pPr>
    </w:p>
    <w:p>
      <w:r>
        <w:t xml:space="preserve">Glavnina rashoda se odnosi na sanaciju igrališta kod područne škole (35.217,61 eura) i održavanje cesta i putova.  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za rad predstavničkih i izvršnih tijela, povjerenstava i slično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7.134,00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21.716,62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304,4</w:t>
            </w:r>
          </w:p>
        </w:tc>
      </w:tr>
    </w:tbl>
    <w:p>
      <w:pPr>
        <w:spacing w:before="0" w:after="0"/>
      </w:pPr>
    </w:p>
    <w:p>
      <w:r>
        <w:t xml:space="preserve">U ovom izvještajnom razdoblju rashodi su veći zbog naknade prethodnom načelniku koju ostvaruje sukladno zakonskim propisima za šest mjeseci nakon prestanka obnašanja dužnosti.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nespomenuti rashodi poslovanja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3.003,11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16.392,67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545,9</w:t>
            </w:r>
          </w:p>
        </w:tc>
      </w:tr>
    </w:tbl>
    <w:p>
      <w:pPr>
        <w:spacing w:before="0" w:after="0"/>
      </w:pPr>
    </w:p>
    <w:p>
      <w:r>
        <w:t xml:space="preserve">Rashodi su veći zbog troškova lokalnih izbora u 2025. godini.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Pomoći drugom proračunu i izvanproračunskim korisnicima (šifre 3631 do 3636)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32.985,98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8.878,86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26,9</w:t>
            </w:r>
          </w:p>
        </w:tc>
      </w:tr>
    </w:tbl>
    <w:p>
      <w:pPr>
        <w:spacing w:before="0" w:after="0"/>
      </w:pPr>
    </w:p>
    <w:p>
      <w:r>
        <w:t xml:space="preserve">Rashod je za zajedničkog komunalnog redara sukladno sporazumu s općinom Promina.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pomoći proračunskim korisnicima drugih proračuna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130.006,59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173.978,01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133,8</w:t>
            </w:r>
          </w:p>
        </w:tc>
      </w:tr>
    </w:tbl>
    <w:p>
      <w:pPr>
        <w:spacing w:before="0" w:after="0"/>
      </w:pPr>
    </w:p>
    <w:p>
      <w:r>
        <w:t xml:space="preserve">Pomoći se odnose za zajedničku ustanovu Dječjeg vrtića s općinom Promina (172.024.65 eura) i Domu zdravlja Šibensko-kninske županije za laboratorijsku dijagnostiku u Drnišu (1.953,36 eura).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Kapitalne pomoći proračunskim korisnicima drugih proračuna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5.984,11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8.578,50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143,4</w:t>
            </w:r>
          </w:p>
        </w:tc>
      </w:tr>
    </w:tbl>
    <w:p>
      <w:pPr>
        <w:spacing w:before="0" w:after="0"/>
      </w:pPr>
    </w:p>
    <w:p>
      <w:r>
        <w:t xml:space="preserve">Kapitalna pomoć se odnosi na pomoć za opremanje dječjeg vrtića.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građanima i kućanstvima u novcu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38.350,00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32.340,00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84,3</w:t>
            </w:r>
          </w:p>
        </w:tc>
      </w:tr>
    </w:tbl>
    <w:p>
      <w:pPr>
        <w:spacing w:before="0" w:after="0"/>
      </w:pPr>
    </w:p>
    <w:p>
      <w:r>
        <w:t xml:space="preserve">Rashodi se po Socijalnom programu odnose na stimulativne potpore za novosklopljene brakove, novorođenu djecu, jednokratne potpore učenicima, vrtićkoj djeci i studentima kao i za potpore korisnicima zajamčene minimalne naknade.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građanima i kućanstvima u naravi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82.894,67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109.498,67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132,1</w:t>
            </w:r>
          </w:p>
        </w:tc>
      </w:tr>
    </w:tbl>
    <w:p>
      <w:pPr>
        <w:spacing w:before="0" w:after="0"/>
      </w:pPr>
    </w:p>
    <w:p>
      <w:r>
        <w:t xml:space="preserve">Naknade građanima i kućanstvima se odnosi na sufinanciranje prijevoza učenika i sufinanciranje prijevoza putnika u javnom prometu.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donacije u novcu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35.728,00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44.234,00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123,8</w:t>
            </w:r>
          </w:p>
        </w:tc>
      </w:tr>
    </w:tbl>
    <w:p>
      <w:pPr>
        <w:spacing w:before="0" w:after="0"/>
      </w:pPr>
    </w:p>
    <w:p>
      <w:r>
        <w:t xml:space="preserve">Glavnina ovog rashoda je donacija Dobrovoljnom vatrogasnom društvu Ružić u iznosu 27.000,00 eura. Ostalo su donacije po javnom pozivu iz područja kulture, sporta i ostalih udruga civilnog društva.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Kapitalne donacije neprofitnim organizacijama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100</w:t>
            </w:r>
          </w:p>
        </w:tc>
      </w:tr>
    </w:tbl>
    <w:p>
      <w:pPr>
        <w:spacing w:before="0" w:after="0"/>
      </w:pPr>
    </w:p>
    <w:p>
      <w:r>
        <w:t xml:space="preserve">Kapitalna donacija je donacija vjerskim zajednicama za uređenje vjerskih objekata.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Obračunati prihodi poslovanja - nenaplaćeni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8.415,40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104.680,14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1243,9</w:t>
            </w:r>
          </w:p>
        </w:tc>
      </w:tr>
    </w:tbl>
    <w:p>
      <w:pPr>
        <w:spacing w:before="0" w:after="0"/>
      </w:pPr>
    </w:p>
    <w:p>
      <w:r>
        <w:t xml:space="preserve">Obračunati prihodi su veći u odnosu na prethodno razdoblje sukladno Pravilniku o proračunskom računovodstvu i računskom planu kojima se potraživani i obračunati prihodi knjiže na kontu 963. U našem slučaju to je obračunati prihod po 6. ZNS-u u iznosu 92.608,20 eura u  projektu Zaželi,  4.710,00 eura za projekt prema Ministarstvu poljoprivrede, šumarstva i ribarstva, obračunati prihod za poreze u iznosu 2.316,06, komunalnu naknadu 5.019,34 i ostalo 26,54 eura. 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335.227,99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384.889,51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114,8</w:t>
            </w:r>
          </w:p>
        </w:tc>
      </w:tr>
    </w:tbl>
    <w:p>
      <w:pPr>
        <w:spacing w:before="0" w:after="0"/>
      </w:pPr>
    </w:p>
    <w:p>
      <w:r>
        <w:t xml:space="preserve">Rashodi za nabavu nefinancijske imovine su veći zbog više odobrenih sufinanciranih infrastrukturnih projekata u 2025. godini.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Dodatna ulaganja na građevinskim objektima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80.319,19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163.318,55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203,3</w:t>
            </w:r>
          </w:p>
        </w:tc>
      </w:tr>
    </w:tbl>
    <w:p>
      <w:pPr>
        <w:spacing w:before="0" w:after="0"/>
      </w:pPr>
    </w:p>
    <w:p>
      <w:r>
        <w:t xml:space="preserve">Dodatna ulaganja se odnose na pojačano održavanje cesta.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i primitaka za pokriće u sljedećem razdoblju (šifre Y005 + '9222-9221' - X005 - '9221-9222' 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Y006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2.971,29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Manjak prihoda je nastao zbog većih izdataka zaposlenih i 13- tih rashoda u 2025. godini, zbog korekcije rezultata za iznos nepriznatog predujma u iznosu 123.477,60 eura u programu Zaželi i dinamike uplate sredstava po podnesenim ZNS-ovima.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Bilanca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Nefinancijska imovina (šifre 01+02+03+04+05+06)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B002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2.964.789,72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3.029.795,85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102,2</w:t>
            </w:r>
          </w:p>
        </w:tc>
      </w:tr>
    </w:tbl>
    <w:p>
      <w:pPr>
        <w:spacing w:before="0" w:after="0"/>
      </w:pPr>
    </w:p>
    <w:p>
      <w:r>
        <w:t xml:space="preserve">Nefinancijska imovina je veća za iznos novih investicija:</w:t>
      </w:r>
    </w:p>
    <w:p>
      <w:pPr>
        <w:pStyle w:val="ListParagraph"/>
        <w:numPr>
          <w:ilvl w:val="0"/>
          <w:numId w:val="2"/>
        </w:numPr>
      </w:pPr>
      <w:r>
        <w:t xml:space="preserve">uređenje okoliša Doma Gradac, 63.092,85</w:t>
      </w:r>
    </w:p>
    <w:p>
      <w:pPr>
        <w:pStyle w:val="ListParagraph"/>
        <w:numPr>
          <w:ilvl w:val="0"/>
          <w:numId w:val="2"/>
        </w:numPr>
      </w:pPr>
      <w:r>
        <w:t xml:space="preserve">asfaltiranje cesta, 62.288,25</w:t>
      </w:r>
    </w:p>
    <w:p>
      <w:pPr>
        <w:pStyle w:val="ListParagraph"/>
        <w:numPr>
          <w:ilvl w:val="0"/>
          <w:numId w:val="2"/>
        </w:numPr>
      </w:pPr>
      <w:r>
        <w:t xml:space="preserve">opremanje dodatnih sadržaja dječjeg  vrtića Gradac, 23.743,75</w:t>
      </w:r>
    </w:p>
    <w:p>
      <w:pPr>
        <w:pStyle w:val="ListParagraph"/>
        <w:numPr>
          <w:ilvl w:val="0"/>
          <w:numId w:val="2"/>
        </w:numPr>
      </w:pPr>
      <w:r>
        <w:t xml:space="preserve">uređenje  staza u groblju Gradac, 62.671,20</w:t>
      </w:r>
    </w:p>
    <w:p>
      <w:pPr>
        <w:pStyle w:val="ListParagraph"/>
        <w:numPr>
          <w:ilvl w:val="0"/>
          <w:numId w:val="2"/>
        </w:numPr>
      </w:pPr>
      <w:r>
        <w:t xml:space="preserve">računala i uredski namještaj, 3.102,39</w:t>
      </w:r>
    </w:p>
    <w:p>
      <w:pPr>
        <w:pStyle w:val="ListParagraph"/>
        <w:numPr>
          <w:ilvl w:val="0"/>
          <w:numId w:val="2"/>
        </w:numPr>
      </w:pPr>
      <w:r>
        <w:t xml:space="preserve">dodatna ulaganja, pojačano održavanje cesta, 163.318,55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Dionice i udjeli u glavnici trgovačkih društava u javnom sektoru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395.513,97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395.513,97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100</w:t>
            </w:r>
          </w:p>
        </w:tc>
      </w:tr>
    </w:tbl>
    <w:p>
      <w:pPr>
        <w:spacing w:before="0" w:after="0"/>
      </w:pPr>
    </w:p>
    <w:p>
      <w:r>
        <w:t xml:space="preserve">Udjeli u trgovačkim društvima "Gradska Čistoća" Drniš, 81.651,07 i (nakon pripajanja "Rad-a" Drniš) u "Vodovodu i odvodnji" Šibenik,  313.862,90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(šifre 23+24+25+26+27+29)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22.555,94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165.852,85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735,3</w:t>
            </w:r>
          </w:p>
        </w:tc>
      </w:tr>
    </w:tbl>
    <w:p>
      <w:pPr>
        <w:spacing w:before="0" w:after="0"/>
      </w:pPr>
    </w:p>
    <w:p>
      <w:r>
        <w:t xml:space="preserve">Dospjele obveze: </w:t>
      </w:r>
    </w:p>
    <w:p>
      <w:r>
        <w:t xml:space="preserve">računi za vodu u iznosu  56,73 eura</w:t>
      </w:r>
    </w:p>
    <w:p>
      <w:r>
        <w:t xml:space="preserve">Nedospjele obveze:</w:t>
      </w:r>
    </w:p>
    <w:p>
      <w:r>
        <w:t xml:space="preserve">računi za 12. 2025 u iznosu 6.596,33 eura,</w:t>
      </w:r>
    </w:p>
    <w:p>
      <w:r>
        <w:t xml:space="preserve">plaće i troškovi prijevoza zaposlenima za 12-25 u iznosu 34.815,44 eura, </w:t>
      </w:r>
    </w:p>
    <w:p>
      <w:r>
        <w:t xml:space="preserve">4. rata za tekuće pomoći Domu zdravlja ŠKŽ u iznosu 651,12 eura,</w:t>
      </w:r>
    </w:p>
    <w:p>
      <w:r>
        <w:t xml:space="preserve">obveza za povrat namirenja poreza u iznosu 69,88 eura,</w:t>
      </w:r>
    </w:p>
    <w:p>
      <w:r>
        <w:t xml:space="preserve">predujam programa Zaželi u iznosu 123.477,60 eura</w:t>
      </w:r>
    </w:p>
    <w:p>
      <w:r>
        <w:t xml:space="preserve">obveza za ulaganja u  poslovni prostor prema Hrvatskoj pošti u iznosu 185,75 eura.</w:t>
      </w:r>
    </w:p>
    <w:p>
      <w:r>
        <w:t xml:space="preserve"> 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Rezultat - višak/manjak (šifre 9221-9222)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303.754,02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-2.971,29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-1,0</w:t>
            </w:r>
          </w:p>
        </w:tc>
      </w:tr>
    </w:tbl>
    <w:p>
      <w:pPr>
        <w:spacing w:before="0" w:after="0"/>
      </w:pPr>
    </w:p>
    <w:p>
      <w:r>
        <w:t xml:space="preserve">U postupku utvrđivanja rezultata nakon sučeljavanja prihoda  s rashodima izvršena je korekcija za iznose kapitalnih potpora u iznosu 342.645,85 eura.</w:t>
      </w:r>
    </w:p>
    <w:p>
      <w:r>
        <w:t xml:space="preserve"> 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Obračunati prihodi poslovanja (šifre 961 do 963 + 964 do 968)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8.415,40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104.680,14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1243,9</w:t>
            </w:r>
          </w:p>
        </w:tc>
      </w:tr>
    </w:tbl>
    <w:p>
      <w:pPr>
        <w:spacing w:before="0" w:after="0"/>
      </w:pPr>
    </w:p>
    <w:p>
      <w:r>
        <w:t xml:space="preserve">Obračunati prihodi:</w:t>
      </w:r>
    </w:p>
    <w:p>
      <w:r>
        <w:t xml:space="preserve"> po 6. ZNS-u u projektu Zaželi,  92.608,20 eura</w:t>
      </w:r>
    </w:p>
    <w:p>
      <w:r>
        <w:t xml:space="preserve"> za projekt prema Ministarstvu poljoprivrede, šumarstva i ribarstva, 4.710,00 eura</w:t>
      </w:r>
    </w:p>
    <w:p>
      <w:r>
        <w:t xml:space="preserve"> poreze u iznosu,  2.316,06 eura,</w:t>
      </w:r>
    </w:p>
    <w:p>
      <w:r>
        <w:t xml:space="preserve"> komunalnu naknadu,  5.019,34 eura,</w:t>
      </w:r>
    </w:p>
    <w:p>
      <w:r>
        <w:t xml:space="preserve"> za trošak ovrhe,  26,54 eura. 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30.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Izvanbilančni zapisi - aktiva (šifra 996)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1.095.279,68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2.007.276,54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183,3</w:t>
            </w:r>
          </w:p>
        </w:tc>
      </w:tr>
    </w:tbl>
    <w:p>
      <w:pPr>
        <w:spacing w:before="0" w:after="0"/>
      </w:pPr>
    </w:p>
    <w:p>
      <w:r>
        <w:t xml:space="preserve">Izvanbilančni zapisi se odnose na sljedeće:</w:t>
      </w:r>
    </w:p>
    <w:p>
      <w:r>
        <w:t xml:space="preserve">dane zadužnice u iznosu 1.098.040,23</w:t>
      </w:r>
    </w:p>
    <w:p>
      <w:r>
        <w:t xml:space="preserve">primljene zadužnice u iznosu 286.239,45</w:t>
      </w:r>
    </w:p>
    <w:p>
      <w:r>
        <w:t xml:space="preserve">potraživanja po ugovorima o dodjeljenim bespovratnim sredstvima u iznosu 622.996,86 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Izvještaj o rashodima prema funkcijskoj klasifikaciji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31.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Kontrolni zbroj (šifre 01+02+03+04+05+06+07+08+09+10)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1.104.899,54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1.437.323,62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130,1</w:t>
            </w:r>
          </w:p>
        </w:tc>
      </w:tr>
    </w:tbl>
    <w:p>
      <w:pPr>
        <w:spacing w:before="0" w:after="0"/>
      </w:pPr>
    </w:p>
    <w:p>
      <w:r>
        <w:t xml:space="preserve">U obrazac su uneseni rashodi skupine 3 i 4 za obračunsko razdoblje i veći su u odnosu na prethodnu godinu zbog većih rashoda u obračunskoj godini.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Promjene u vrijednosti i obujmu imovine i obveza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32.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 povećanja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 smanjenja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Proizvedena dugotrajna imovina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159.941,69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U obrascu je prikazana jedna promjena za iznos ispravka vrijednosti imovine na dan 31.12.2025. godine.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33.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obveza 1. siječnja (=stanju obveza iz Izvještaja o obvezama na 31. prosinca prethodne godine)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22.555,94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Struktura obveza je prikazana uz bilancu.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34.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56,73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Stanje dospjelih obveza se odnosi na račun za vodu koji nije podmiren zbog neusklađenosti stanja s isporučiteljem vodne usluge koji je bio u postupku pripajanja društva i zbog kašnjenja računa i IOS-a.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35.</w:t>
      </w:r>
    </w:p>
    <w:p>
      <w:pPr>
        <w:jc w:val="both"/>
        <w:pStyle w:val="Normal"/>
        <w:spacing w:line="240" w:lineRule="auto"/>
      </w:pPr>
      <w:r>
        <w:rPr>
          <w:b/>
          <w:sz w:val="24"/>
          <w:rFonts w:ascii="Times New Roman" w:hAnsi="Times New Roman"/>
        </w:rPr>
        <w:t xml:space="preserve">EU izvještaj</w:t>
      </w:r>
    </w:p>
    <w:p>
      <w:r>
        <w:t xml:space="preserve">Izvještaj po izvorima financiranja 561 - Izvještaj se odnosi na prihode i rashode u programu "Zaželi", faza 4. koji je započeo u 2024. godini s ukupnim proračunom 990.000,00 eura  u kojem je uposleno 20 gerontodomaćica.  U 2024. godini je uplaćen predujam u iznosu 198.000,00 eura i uplaćeno je 68.154,54 eura po odobrenom ZNS-u. U  2025. godini je uplaćeno 224.326,20 eura i priznato iz predujma 74.522,40 eura, tako da nepriznatog predujma ostaje 123.477,60 eura. U prosincu 2025 je podnesen 6.  ZNS u iznosu 92.608,20 eura koji je i odoben, ali u 2025. nisu uplaćena sredstva.</w:t>
      </w:r>
    </w:p>
    <w:p>
      <w:r>
        <w:t xml:space="preserve">Izvještaj po izvorima financiranja 565 - Izvještaj se odnosi na prihode po Mjeri M19- Leader - CLLD,7.4.1. „Ulaganje u pokretanje, poboljšanje ili proširenje lokalnih temeljnih usluga za ruralno stanovništvo, uključujući slobodno vrijeme i kulturne aktivnosti te povezanu infrastrukturu“. Rashodi su izvršeni u 2024. godini, a po podnesenom ZNS-u sredstva su doznačena u 2025. godini.</w:t>
      </w:r>
    </w:p>
    <w:p/>
  </w:body>
</w:document>
</file>

<file path=word/numbering.xml><?xml version="1.0" encoding="utf-8"?>
<w:numbering xmlns:w="http://schemas.openxmlformats.org/wordprocessingml/2006/main">
  <w:abstractNum w:abstractNumId="1">
    <w:multiLevelType w:val="hybridMultilevel"/>
    <w:name w:val="disc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2160" w:hanging="360"/>
      </w:pPr>
    </w:lvl>
    <w:lvl w:ilvl="3">
      <w:start w:val="1"/>
      <w:numFmt w:val="bullet"/>
      <w:lvlText w:val="•"/>
      <w:lvlJc w:val="left"/>
      <w:pPr>
        <w:ind w:left="2880" w:hanging="360"/>
      </w:pPr>
    </w:lvl>
    <w:lvl w:ilvl="4">
      <w:start w:val="1"/>
      <w:numFmt w:val="bullet"/>
      <w:lvlText w:val="•"/>
      <w:lvlJc w:val="left"/>
      <w:pPr>
        <w:ind w:left="3600" w:hanging="360"/>
      </w:pPr>
    </w:lvl>
    <w:lvl w:ilvl="5">
      <w:start w:val="1"/>
      <w:numFmt w:val="bullet"/>
      <w:lvlText w:val="•"/>
      <w:lvlJc w:val="left"/>
      <w:pPr>
        <w:ind w:left="4320" w:hanging="360"/>
      </w:pPr>
    </w:lvl>
    <w:lvl w:ilvl="6">
      <w:start w:val="1"/>
      <w:numFmt w:val="bullet"/>
      <w:lvlText w:val="•"/>
      <w:lvlJc w:val="left"/>
      <w:pPr>
        <w:ind w:left="5040" w:hanging="360"/>
      </w:pPr>
    </w:lvl>
    <w:lvl w:ilvl="7">
      <w:start w:val="1"/>
      <w:numFmt w:val="bullet"/>
      <w:lvlText w:val="•"/>
      <w:lvlJc w:val="left"/>
      <w:pPr>
        <w:ind w:left="5760" w:hanging="360"/>
      </w:pPr>
    </w:lvl>
    <w:lvl w:ilvl="8">
      <w:start w:val="1"/>
      <w:numFmt w:val="bullet"/>
      <w:lvlText w:val="•"/>
      <w:lvlJc w:val="left"/>
      <w:pPr>
        <w:ind w:left="6480" w:hanging="360"/>
      </w:pPr>
    </w:lvl>
  </w:abstractNum>
  <w:num w:numId="2">
    <w:abstractNumId w:val="1"/>
    <w:lvlOverride w:ilvl="0">
      <w:startOverride w:val="1"/>
    </w:lvlOverride>
  </w:num>
</w:numbering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sz w:val="24"/>
      </w:rPr>
    </w:rPrDefault>
  </w:docDefaults>
  <w:style w:type="paragraph" w:styleId="Normal" w:default="true">
    <w:name w:val="Normal"/>
    <w:rPr>
      <w:rFonts w:ascii="Times New Roman" w:hAnsi="Times New Roman"/>
      <w:sz w:val="24"/>
    </w:rPr>
  </w:style>
  <w:style xmlns:w="http://schemas.openxmlformats.org/wordprocessingml/2006/main" w:type="paragraph" w:styleId="ListParagraph">
    <w:name w:val="List Paragraph"/>
    <w:next w:val="List Paragraph"/>
    <w:pPr>
      <w:keepNext w:val="0"/>
      <w:keepLines w:val="0"/>
      <w:spacing w:before="0" w:after="0" w:line="240" w:lineRule="auto"/>
      <w:ind w:start="720" w:end="0" w:firstLine="0"/>
      <w:contextualSpacing/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67102755425411a" /><Relationship Type="http://schemas.openxmlformats.org/officeDocument/2006/relationships/numbering" Target="/word/numbering.xml" Id="Rca9d79a90833465a" /></Relationships>
</file>